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“año del bicentenario, de la consolidación de nuestra independencia, y de la conmemoración de las Heróicas batallas de Junín y Ayacucho</w:t>
      </w:r>
      <w:r w:rsidDel="00000000" w:rsidR="00000000" w:rsidRPr="00000000">
        <w:rPr>
          <w:rFonts w:ascii="Arial Narrow" w:cs="Arial Narrow" w:eastAsia="Arial Narrow" w:hAnsi="Arial Narrow"/>
          <w:color w:val="1f2023"/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Choque, 27 de diciembre de 2024</w:t>
      </w:r>
    </w:p>
    <w:p w:rsidR="00000000" w:rsidDel="00000000" w:rsidP="00000000" w:rsidRDefault="00000000" w:rsidRPr="00000000" w14:paraId="00000004">
      <w:pPr>
        <w:widowControl w:val="0"/>
        <w:spacing w:after="0" w:before="196" w:line="240" w:lineRule="auto"/>
        <w:ind w:left="737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 OFICIO N° 032– 2024 – ME/DREP/UGELEC/DIEI-1061-CH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697"/>
        </w:tabs>
        <w:spacing w:after="0" w:before="190" w:line="240" w:lineRule="auto"/>
        <w:ind w:left="73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SEÑORA</w:t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: </w:t>
      </w:r>
      <w:r w:rsidDel="00000000" w:rsidR="00000000" w:rsidRPr="00000000">
        <w:rPr>
          <w:rtl w:val="0"/>
        </w:rPr>
        <w:t xml:space="preserve">Dra. </w:t>
      </w:r>
      <w:r w:rsidDel="00000000" w:rsidR="00000000" w:rsidRPr="00000000">
        <w:rPr>
          <w:color w:val="040404"/>
          <w:rtl w:val="0"/>
        </w:rPr>
        <w:t xml:space="preserve">Norka Belinda CCORI TORO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83" w:line="240" w:lineRule="auto"/>
        <w:ind w:left="2834" w:firstLine="0"/>
        <w:rPr/>
      </w:pPr>
      <w:r w:rsidDel="00000000" w:rsidR="00000000" w:rsidRPr="00000000">
        <w:rPr>
          <w:rtl w:val="0"/>
        </w:rPr>
        <w:t xml:space="preserve">DIRECTORA DE LA UGEL EL COLLAO-ILAVE.</w:t>
      </w:r>
    </w:p>
    <w:p w:rsidR="00000000" w:rsidDel="00000000" w:rsidP="00000000" w:rsidRDefault="00000000" w:rsidRPr="00000000" w14:paraId="00000007">
      <w:pPr>
        <w:widowControl w:val="0"/>
        <w:spacing w:after="0" w:before="180" w:line="240" w:lineRule="auto"/>
        <w:ind w:left="277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8">
      <w:pPr>
        <w:widowControl w:val="0"/>
        <w:spacing w:after="0" w:before="1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502"/>
        </w:tabs>
        <w:spacing w:after="0" w:before="1" w:line="355" w:lineRule="auto"/>
        <w:ind w:left="2949" w:right="1117" w:hanging="2270"/>
        <w:rPr/>
      </w:pPr>
      <w:r w:rsidDel="00000000" w:rsidR="00000000" w:rsidRPr="00000000">
        <w:rPr>
          <w:b w:val="1"/>
          <w:rtl w:val="0"/>
        </w:rPr>
        <w:t xml:space="preserve">ASUNTO</w:t>
        <w:tab/>
      </w:r>
      <w:r w:rsidDel="00000000" w:rsidR="00000000" w:rsidRPr="00000000">
        <w:rPr>
          <w:rtl w:val="0"/>
        </w:rPr>
        <w:t xml:space="preserve">: Remito Hoja de Ruta Para el Tercer Bloque de las Semanas de Gestión del Año  Escolar 2024 de la I.E.I. Nº 1061 - Choque.</w:t>
      </w:r>
    </w:p>
    <w:p w:rsidR="00000000" w:rsidDel="00000000" w:rsidP="00000000" w:rsidRDefault="00000000" w:rsidRPr="00000000" w14:paraId="0000000A">
      <w:pPr>
        <w:widowControl w:val="0"/>
        <w:spacing w:after="0" w:before="179" w:line="240" w:lineRule="auto"/>
        <w:ind w:left="2748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______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sz w:val="23"/>
          <w:szCs w:val="23"/>
          <w:rtl w:val="0"/>
        </w:rPr>
        <w:t xml:space="preserve">_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" w:line="372" w:lineRule="auto"/>
        <w:ind w:left="680" w:right="678" w:firstLine="2103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Es sumamente grato dirigirme a Ud. Con la finalidad de hacerle alcance la   HOJA DE RUTA PARA EL TERCER BLOQUE DE LAS SEMANAS DE GESTIÓN AÑO ESCOLAR 2024, de la I.E.I. N° 1061 -  Choque del distrito de Ilave, ámbito de la UGEL EL COLLAO.</w:t>
      </w:r>
    </w:p>
    <w:p w:rsidR="00000000" w:rsidDel="00000000" w:rsidP="00000000" w:rsidRDefault="00000000" w:rsidRPr="00000000" w14:paraId="0000000C">
      <w:pPr>
        <w:widowControl w:val="0"/>
        <w:spacing w:after="0" w:before="5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79" w:lineRule="auto"/>
        <w:ind w:left="680" w:right="678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Sin otro particular, aprovecho la oportunidad para expresarle mis consideraciones más distinguidas y estima personal.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85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1356995</wp:posOffset>
            </wp:positionH>
            <wp:positionV relativeFrom="paragraph">
              <wp:posOffset>69850</wp:posOffset>
            </wp:positionV>
            <wp:extent cx="2400300" cy="1456055"/>
            <wp:effectExtent b="0" l="0" r="0" t="0"/>
            <wp:wrapSquare wrapText="bothSides" distB="0" distT="0" distL="114300" distR="114300"/>
            <wp:docPr descr="C:\Users\li\Downloads\WhatsApp Image 2024-12-27 at 16.16.45.jpeg" id="1" name="image1.png"/>
            <a:graphic>
              <a:graphicData uri="http://schemas.openxmlformats.org/drawingml/2006/picture">
                <pic:pic>
                  <pic:nvPicPr>
                    <pic:cNvPr descr="C:\Users\li\Downloads\WhatsApp Image 2024-12-27 at 16.16.45.jpeg" id="0" name="image1.png"/>
                    <pic:cNvPicPr preferRelativeResize="0"/>
                  </pic:nvPicPr>
                  <pic:blipFill>
                    <a:blip r:embed="rId6"/>
                    <a:srcRect b="40767" l="7113" r="15481" t="3282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56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851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851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851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851" w:firstLine="0"/>
        <w:rPr>
          <w:b w:val="1"/>
          <w:sz w:val="32"/>
          <w:szCs w:val="32"/>
        </w:rPr>
        <w:sectPr>
          <w:headerReference r:id="rId7" w:type="first"/>
          <w:pgSz w:h="16838" w:w="11906" w:orient="portrait"/>
          <w:pgMar w:bottom="1418" w:top="1418" w:left="1418" w:right="1418" w:header="709" w:footer="709"/>
          <w:pgNumType w:start="1"/>
          <w:titlePg w:val="1"/>
        </w:sect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ind w:left="851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HOJA DE RUTA PARA EL BLOQUE DE CIERRE DE LA SEMANA DE GESTIÓN - PERIODO ESCOLAR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GENERALES DE LA IEI:</w:t>
      </w:r>
    </w:p>
    <w:p w:rsidR="00000000" w:rsidDel="00000000" w:rsidP="00000000" w:rsidRDefault="00000000" w:rsidRPr="00000000" w14:paraId="00000021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1.000000000002" w:type="dxa"/>
        <w:jc w:val="left"/>
        <w:tblInd w:w="-5.0" w:type="dxa"/>
        <w:tblLayout w:type="fixed"/>
        <w:tblLook w:val="0400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  <w:tblGridChange w:id="0">
          <w:tblGrid>
            <w:gridCol w:w="1149"/>
            <w:gridCol w:w="1600"/>
            <w:gridCol w:w="1206"/>
            <w:gridCol w:w="1715"/>
            <w:gridCol w:w="1352"/>
            <w:gridCol w:w="2166"/>
            <w:gridCol w:w="2574"/>
            <w:gridCol w:w="223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Número y/o nombre de la I.E.I.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 Modular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Pertenece a Red Educativa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1061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1609601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DRE/GRE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PUNO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UGEL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 COLLAO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Distrito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ILAVE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formalización de red educativa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2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DEL/DE LA DIRECTOR/A:       </w:t>
      </w:r>
    </w:p>
    <w:p w:rsidR="00000000" w:rsidDel="00000000" w:rsidP="00000000" w:rsidRDefault="00000000" w:rsidRPr="00000000" w14:paraId="00000044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tbl>
      <w:tblPr>
        <w:tblStyle w:val="Table2"/>
        <w:tblW w:w="14001.0" w:type="dxa"/>
        <w:jc w:val="left"/>
        <w:tblInd w:w="-3.0" w:type="dxa"/>
        <w:tblLayout w:type="fixed"/>
        <w:tblLook w:val="0400"/>
      </w:tblPr>
      <w:tblGrid>
        <w:gridCol w:w="1227"/>
        <w:gridCol w:w="3750"/>
        <w:gridCol w:w="1360"/>
        <w:gridCol w:w="3414"/>
        <w:gridCol w:w="1615"/>
        <w:gridCol w:w="2635"/>
        <w:tblGridChange w:id="0">
          <w:tblGrid>
            <w:gridCol w:w="1227"/>
            <w:gridCol w:w="3750"/>
            <w:gridCol w:w="1360"/>
            <w:gridCol w:w="3414"/>
            <w:gridCol w:w="1615"/>
            <w:gridCol w:w="263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NOMBRES COMPLETOS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APELLIDOS COMPLETOS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IDENTIDAD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MARTA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CABRERA  MAMANI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43015563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DIRECTORA ENCARGADA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N°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951623794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CORREO ELECTÓNICO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cabreramamanimarta@gmail.com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ind w:left="4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DE SEMANA DE GESTIÓN (BLOQUE DE CIERRE DELAÑO ESCOLAR 2024)</w:t>
      </w:r>
    </w:p>
    <w:p w:rsidR="00000000" w:rsidDel="00000000" w:rsidP="00000000" w:rsidRDefault="00000000" w:rsidRPr="00000000" w14:paraId="00000062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65.0" w:type="dxa"/>
        <w:jc w:val="left"/>
        <w:tblInd w:w="-3.0" w:type="dxa"/>
        <w:tblLayout w:type="fixed"/>
        <w:tblLook w:val="0400"/>
      </w:tblPr>
      <w:tblGrid>
        <w:gridCol w:w="1050"/>
        <w:gridCol w:w="690"/>
        <w:gridCol w:w="3180"/>
        <w:gridCol w:w="2130"/>
        <w:gridCol w:w="2910"/>
        <w:gridCol w:w="850"/>
        <w:gridCol w:w="2955"/>
        <w:tblGridChange w:id="0">
          <w:tblGrid>
            <w:gridCol w:w="1050"/>
            <w:gridCol w:w="690"/>
            <w:gridCol w:w="3180"/>
            <w:gridCol w:w="2130"/>
            <w:gridCol w:w="2910"/>
            <w:gridCol w:w="850"/>
            <w:gridCol w:w="295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ACTIVIDADES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PRODUCTOS/ LOGROS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Nivel de logro alcanzado en la evaluación de las actividades desarrolladas (marque una respuesta)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26-dic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 de soporte socioemocional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Charlas, fotos.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Deficiente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Reunión informativa con la comunidad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7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educativa, fotos.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)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Conformación del equipo responsable del reajuste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8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PAT reajustado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Análisis de los logros de aprendizaje (bimestre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9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final de resultados de los logros de las competencias de los niños y niñas de la RED SUMA QHANTATI.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sobre el progreso del desarrollo de las competencias de las/los estudiantes identificada en el diagnostico institucional (DI)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A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final de resultados de los logros de las competencias  de los niños y niñas de la RED SUMA QHANTATI.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Gráficos estadísticos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Destecado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para el cierre de las funciones del 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B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para el cierre de las funciones del comité de gestión de condiciones 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C8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condiciones 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27 -dic.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sobre la implementación de los lineamientos para la gestión de la convivencia Escolar, la prevención y la atención de la violencia contra niños, niñas y adolescentes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Evaluación del Plan de convivencia escolar.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 )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para el seguimiento de las acciones de tutoría, orientación educativa y convivencia escolar con las/ los tutores, docentes auxiliares de educación y actores socioeducativos.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Charlas y reuniones de orientación para una buena convivencia.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de evaluación del bienestar socioemocional a partir del análisis de las normas de convivencia y medidas correctivas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Charlas, actas de compromiso.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)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Balance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2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PAT reajustado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Evaluación de diagnóstico institucional (DI)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37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Diagnostico institucional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Revisión del 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45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PEI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Evaluación y reajuste del PCI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53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PCI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Rendición de cuentas ante familiares sobre logros de aprendizaje y barreras educativas identificadas, recursos financieros y la evaluación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Informe final de logros de aprendizaje a los padres y madres responsables de los niños y niñas (boletas informativas)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Reunión de balance de las actividades desarrolladas durante el cuarto bloque de la semana de gestión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Asistencia de las integrantes de la RED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SUMA QHANTATI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acta.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Destacado</w:t>
            </w:r>
          </w:p>
        </w:tc>
      </w:tr>
    </w:tbl>
    <w:p w:rsidR="00000000" w:rsidDel="00000000" w:rsidP="00000000" w:rsidRDefault="00000000" w:rsidRPr="00000000" w14:paraId="0000017B">
      <w:pPr>
        <w:spacing w:after="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* Incrementar las filas para los días y para las actividades según la planificación de la 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ind w:right="52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** En caso seleccione la opción de trabajo remoto o mixto, la IE deberá completar el cuadro IV tomando en cuenta los criterios establecidos.</w:t>
      </w:r>
    </w:p>
    <w:p w:rsidR="00000000" w:rsidDel="00000000" w:rsidP="00000000" w:rsidRDefault="00000000" w:rsidRPr="00000000" w14:paraId="0000017D">
      <w:pPr>
        <w:spacing w:after="0" w:lineRule="auto"/>
        <w:ind w:right="52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40" w:before="240" w:lineRule="auto"/>
        <w:ind w:left="1560" w:hanging="7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17F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before="240" w:line="240" w:lineRule="auto"/>
        <w:ind w:left="1560" w:hanging="7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18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color="000000" w:space="2" w:sz="12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